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hAnsi="Times New Roman" w:cs="Times New Roman"/>
          <w:b/>
          <w:sz w:val="24"/>
          <w:szCs w:val="24"/>
        </w:rPr>
      </w:pPr>
      <w:bookmarkStart w:id="0" w:name="_GoBack"/>
      <w:bookmarkEnd w:id="0"/>
      <w:r>
        <w:rPr>
          <w:rFonts w:ascii="Times New Roman" w:hAnsi="Times New Roman" w:cs="Times New Roman"/>
          <w:b/>
          <w:sz w:val="24"/>
          <w:szCs w:val="24"/>
        </w:rPr>
        <w:t>OSNOVNA ŠKOLA LUDBREG</w:t>
      </w:r>
    </w:p>
    <w:p>
      <w:pPr>
        <w:pStyle w:val="4"/>
        <w:rPr>
          <w:rFonts w:ascii="Times New Roman" w:hAnsi="Times New Roman" w:cs="Times New Roman"/>
          <w:b/>
          <w:sz w:val="24"/>
          <w:szCs w:val="24"/>
        </w:rPr>
      </w:pPr>
      <w:r>
        <w:rPr>
          <w:rFonts w:ascii="Times New Roman" w:hAnsi="Times New Roman" w:cs="Times New Roman"/>
          <w:b/>
          <w:sz w:val="24"/>
          <w:szCs w:val="24"/>
        </w:rPr>
        <w:t>42230 LUDBREG</w:t>
      </w:r>
    </w:p>
    <w:p>
      <w:pPr>
        <w:pStyle w:val="4"/>
        <w:rPr>
          <w:rFonts w:ascii="Times New Roman" w:hAnsi="Times New Roman" w:cs="Times New Roman"/>
          <w:b/>
          <w:sz w:val="24"/>
          <w:szCs w:val="24"/>
        </w:rPr>
      </w:pPr>
      <w:r>
        <w:rPr>
          <w:rFonts w:ascii="Times New Roman" w:hAnsi="Times New Roman" w:cs="Times New Roman"/>
          <w:b/>
          <w:sz w:val="24"/>
          <w:szCs w:val="24"/>
        </w:rPr>
        <w:t xml:space="preserve">Kačićeva 17 </w:t>
      </w:r>
    </w:p>
    <w:p>
      <w:pPr>
        <w:pStyle w:val="4"/>
        <w:rPr>
          <w:rFonts w:ascii="Times New Roman" w:hAnsi="Times New Roman" w:cs="Times New Roman"/>
          <w:sz w:val="24"/>
          <w:szCs w:val="24"/>
        </w:rPr>
      </w:pPr>
      <w:r>
        <w:rPr>
          <w:rFonts w:ascii="Times New Roman" w:hAnsi="Times New Roman" w:cs="Times New Roman"/>
          <w:sz w:val="24"/>
          <w:szCs w:val="24"/>
        </w:rPr>
        <w:t>Matični broj: 03072266</w:t>
      </w:r>
    </w:p>
    <w:p>
      <w:pPr>
        <w:pStyle w:val="4"/>
        <w:rPr>
          <w:rFonts w:ascii="Times New Roman" w:hAnsi="Times New Roman" w:cs="Times New Roman"/>
          <w:sz w:val="24"/>
          <w:szCs w:val="24"/>
        </w:rPr>
      </w:pPr>
      <w:r>
        <w:rPr>
          <w:rFonts w:ascii="Times New Roman" w:hAnsi="Times New Roman" w:cs="Times New Roman"/>
          <w:sz w:val="24"/>
          <w:szCs w:val="24"/>
        </w:rPr>
        <w:t>OIB: 82884083985</w:t>
      </w:r>
    </w:p>
    <w:p>
      <w:pPr>
        <w:pStyle w:val="4"/>
        <w:rPr>
          <w:rFonts w:ascii="Times New Roman" w:hAnsi="Times New Roman" w:cs="Times New Roman"/>
          <w:sz w:val="24"/>
          <w:szCs w:val="24"/>
        </w:rPr>
      </w:pPr>
      <w:r>
        <w:rPr>
          <w:rFonts w:ascii="Times New Roman" w:hAnsi="Times New Roman" w:cs="Times New Roman"/>
          <w:sz w:val="24"/>
          <w:szCs w:val="24"/>
        </w:rPr>
        <w:t>Broj RKP-a: 13885</w:t>
      </w:r>
    </w:p>
    <w:p>
      <w:pPr>
        <w:pStyle w:val="4"/>
        <w:rPr>
          <w:rFonts w:ascii="Times New Roman" w:hAnsi="Times New Roman" w:cs="Times New Roman"/>
          <w:sz w:val="24"/>
          <w:szCs w:val="24"/>
        </w:rPr>
      </w:pPr>
      <w:r>
        <w:rPr>
          <w:rFonts w:ascii="Times New Roman" w:hAnsi="Times New Roman" w:cs="Times New Roman"/>
          <w:sz w:val="24"/>
          <w:szCs w:val="24"/>
        </w:rPr>
        <w:t>Šifra djelatnosti: 8520</w:t>
      </w:r>
    </w:p>
    <w:p>
      <w:pPr>
        <w:pStyle w:val="4"/>
        <w:rPr>
          <w:rFonts w:ascii="Times New Roman" w:hAnsi="Times New Roman" w:cs="Times New Roman"/>
          <w:sz w:val="24"/>
          <w:szCs w:val="24"/>
        </w:rPr>
      </w:pPr>
      <w:r>
        <w:rPr>
          <w:rFonts w:ascii="Times New Roman" w:hAnsi="Times New Roman" w:cs="Times New Roman"/>
          <w:sz w:val="24"/>
          <w:szCs w:val="24"/>
        </w:rPr>
        <w:t>Razina: 31</w:t>
      </w:r>
    </w:p>
    <w:p>
      <w:pPr>
        <w:pStyle w:val="4"/>
        <w:rPr>
          <w:rFonts w:ascii="Times New Roman" w:hAnsi="Times New Roman" w:cs="Times New Roman"/>
          <w:sz w:val="24"/>
          <w:szCs w:val="24"/>
        </w:rPr>
      </w:pPr>
      <w:r>
        <w:rPr>
          <w:rFonts w:ascii="Times New Roman" w:hAnsi="Times New Roman" w:cs="Times New Roman"/>
          <w:sz w:val="24"/>
          <w:szCs w:val="24"/>
        </w:rPr>
        <w:t>Razdjel:000</w:t>
      </w:r>
    </w:p>
    <w:p>
      <w:pPr>
        <w:pStyle w:val="4"/>
        <w:rPr>
          <w:rFonts w:ascii="Times New Roman" w:hAnsi="Times New Roman" w:cs="Times New Roman"/>
          <w:sz w:val="24"/>
          <w:szCs w:val="24"/>
        </w:rPr>
      </w:pPr>
      <w:r>
        <w:rPr>
          <w:rFonts w:ascii="Times New Roman" w:hAnsi="Times New Roman" w:cs="Times New Roman"/>
          <w:sz w:val="24"/>
          <w:szCs w:val="24"/>
        </w:rPr>
        <w:t>Šifra grada /općine: 244</w:t>
      </w:r>
    </w:p>
    <w:p>
      <w:pPr>
        <w:pStyle w:val="4"/>
        <w:rPr>
          <w:rFonts w:ascii="Times New Roman" w:hAnsi="Times New Roman" w:cs="Times New Roman"/>
          <w:sz w:val="24"/>
          <w:szCs w:val="24"/>
        </w:rPr>
      </w:pPr>
      <w:r>
        <w:rPr>
          <w:rFonts w:ascii="Times New Roman" w:hAnsi="Times New Roman" w:cs="Times New Roman"/>
          <w:sz w:val="24"/>
          <w:szCs w:val="24"/>
        </w:rPr>
        <w:t>Oznaka razdoblja: 2017</w:t>
      </w:r>
    </w:p>
    <w:p>
      <w:pPr>
        <w:pStyle w:val="4"/>
        <w:rPr>
          <w:rFonts w:ascii="Times New Roman" w:hAnsi="Times New Roman" w:cs="Times New Roman"/>
          <w:sz w:val="24"/>
          <w:szCs w:val="24"/>
        </w:rPr>
      </w:pPr>
    </w:p>
    <w:p>
      <w:pPr>
        <w:pStyle w:val="4"/>
        <w:rPr>
          <w:rFonts w:ascii="Times New Roman" w:hAnsi="Times New Roman" w:cs="Times New Roman"/>
          <w:sz w:val="24"/>
          <w:szCs w:val="24"/>
        </w:rPr>
      </w:pPr>
    </w:p>
    <w:p>
      <w:pPr>
        <w:pStyle w:val="4"/>
        <w:rPr>
          <w:rFonts w:ascii="Times New Roman" w:hAnsi="Times New Roman" w:cs="Times New Roman"/>
          <w:sz w:val="24"/>
          <w:szCs w:val="24"/>
        </w:rPr>
      </w:pPr>
    </w:p>
    <w:p>
      <w:pPr>
        <w:pStyle w:val="4"/>
        <w:jc w:val="center"/>
        <w:rPr>
          <w:rFonts w:ascii="Times New Roman" w:hAnsi="Times New Roman" w:cs="Times New Roman"/>
          <w:b/>
          <w:sz w:val="32"/>
          <w:szCs w:val="32"/>
        </w:rPr>
      </w:pPr>
      <w:r>
        <w:rPr>
          <w:rFonts w:ascii="Times New Roman" w:hAnsi="Times New Roman" w:cs="Times New Roman"/>
          <w:b/>
          <w:sz w:val="32"/>
          <w:szCs w:val="32"/>
        </w:rPr>
        <w:t>BILJEŠKE UZ FINANCIJSKE IZVJEŠTAJE</w:t>
      </w:r>
    </w:p>
    <w:p>
      <w:pPr>
        <w:pStyle w:val="4"/>
        <w:jc w:val="center"/>
        <w:rPr>
          <w:rFonts w:ascii="Times New Roman" w:hAnsi="Times New Roman" w:cs="Times New Roman"/>
          <w:b/>
          <w:sz w:val="32"/>
          <w:szCs w:val="32"/>
        </w:rPr>
      </w:pPr>
    </w:p>
    <w:p>
      <w:pPr>
        <w:pStyle w:val="4"/>
        <w:jc w:val="both"/>
        <w:rPr>
          <w:rFonts w:ascii="Times New Roman" w:hAnsi="Times New Roman" w:cs="Times New Roman"/>
          <w:sz w:val="24"/>
          <w:szCs w:val="24"/>
        </w:rPr>
      </w:pPr>
      <w:r>
        <w:rPr>
          <w:rFonts w:ascii="Times New Roman" w:hAnsi="Times New Roman" w:cs="Times New Roman"/>
          <w:sz w:val="24"/>
          <w:szCs w:val="24"/>
        </w:rPr>
        <w:t xml:space="preserve">Osnovna škola Ludbreg je odgojno obrazovna institucija, na čelu sa ravnateljicom Đurđom Kladić. Osnovna djelatnost škole je osnovno obrazovanje. Za sastavljanje financijskih izvještaja zadužena je računovotkinja, Maja Cafuk. U toku 2017. godine nije bilo značajnih promjena u poslovanju. </w:t>
      </w:r>
    </w:p>
    <w:p>
      <w:pPr>
        <w:pStyle w:val="4"/>
        <w:jc w:val="both"/>
        <w:rPr>
          <w:rFonts w:ascii="Times New Roman" w:hAnsi="Times New Roman" w:cs="Times New Roman"/>
          <w:sz w:val="24"/>
          <w:szCs w:val="24"/>
        </w:rPr>
      </w:pPr>
    </w:p>
    <w:p>
      <w:pPr>
        <w:pStyle w:val="4"/>
        <w:jc w:val="center"/>
        <w:rPr>
          <w:rFonts w:ascii="Times New Roman" w:hAnsi="Times New Roman" w:cs="Times New Roman"/>
          <w:b/>
          <w:sz w:val="32"/>
          <w:szCs w:val="32"/>
        </w:rPr>
      </w:pPr>
    </w:p>
    <w:p>
      <w:pPr>
        <w:pStyle w:val="4"/>
        <w:rPr>
          <w:rFonts w:ascii="Times New Roman" w:hAnsi="Times New Roman" w:cs="Times New Roman"/>
          <w:b/>
          <w:sz w:val="24"/>
          <w:szCs w:val="24"/>
        </w:rPr>
      </w:pPr>
      <w:r>
        <w:rPr>
          <w:rFonts w:ascii="Times New Roman" w:hAnsi="Times New Roman" w:cs="Times New Roman"/>
          <w:b/>
          <w:sz w:val="24"/>
          <w:szCs w:val="24"/>
        </w:rPr>
        <w:t>OBRAZAC BILANCA</w:t>
      </w:r>
    </w:p>
    <w:p>
      <w:pPr>
        <w:pStyle w:val="4"/>
        <w:rPr>
          <w:rFonts w:ascii="Times New Roman" w:hAnsi="Times New Roman" w:cs="Times New Roman"/>
          <w:b/>
          <w:sz w:val="24"/>
          <w:szCs w:val="24"/>
        </w:rPr>
      </w:pPr>
    </w:p>
    <w:p>
      <w:pPr>
        <w:pStyle w:val="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AOP 001 nije se značajno promijenio u odnosu na prošlu godinu, budući da nije bilo nekih značajno velikih nabava dugotrajne imovine. AOP 015 smanjen je u odnosu na prošlu godinu zbog prijenosa salda na AOP 021, koje je značajno povećan. Došlo je do prijenosa salda sa konta 0221 na konto 0227. U 2017. godini nabavljena su kućišta računala za opremanje informatičke učionice u kojoj se provodi projekt ranog učenja informatike. Po prvi puta imamo pojavljivanje salda na AOP 020, budući da su nabavljeni glazbeni instrumenti za potrebe Glazbene škole, koja djeluje u sklopu naše škole. AOP 031 povećan je jer su nabavljene knjige za opremanje knjižnice, kao i udžbenici za projekt besplatnih udžbenika, koji financira Varaždinska županija. </w:t>
      </w:r>
    </w:p>
    <w:p>
      <w:pPr>
        <w:pStyle w:val="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Po prvi puta se pojavljuje i AOP 140, potraživanje za prihode poslovanja. To se odnosi na potraživanja u sklopu projekta „Školske sheme“. Naime, po prvi puta u 2017. godine počinje provedba projekta na način da škole same naručuju robu od dobavljača, koji njima šalju račune, a škola nakon toga potražuje sredstva od Agencije za plaćanje u poljoprivredi, ribarstvu i ruralnom razvoju. AOP 149 odnosi se na potraživanja za pomoći proračunskim korisnicima iz proračuna koji im nije nadležan, odnosno potraživanje za PDV, dok se AOP 150 odnosi na potraživanje za pomoći iz državnog proračuna temeljem prijenosa EU sredstava.</w:t>
      </w:r>
    </w:p>
    <w:p>
      <w:pPr>
        <w:pStyle w:val="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AOP 161 odnosi se na plaću za 12. mjesec, koja je evidentirana kao kontinuirani rashod budućeg razdoblja, budući da u 2017. godine već postoji 12 rashoda za plaće. AOP 163 odnosi se na obveze za zaposlene u iznosu od 806.964,04 kn, za materijalne rashode u iznosu od 149.310,71 kn, za financijske rashode u iznosu od 454,26 kn te rashode za nabavu nefinancijske imovine u iznosu od 3.551,65 kn.  AOP 174 odnosi se na obveze za primljene EU predujmove u iznosu od 73.462,62 kn te obveze proračunskih korisnika za povrat u iznosu od 359,59 kn, a koji se odnose na bolovanja koja refundira HZZO. </w:t>
      </w:r>
    </w:p>
    <w:p>
      <w:pPr>
        <w:pStyle w:val="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 2017. godini Osnovna škola Ludbreg ostvarila je ukupni manjak u iznosu od 239.630,86 kn, koji se pokriva viškom iz prošle godine, pa je tako na AOP 233 vidljiv ukupni višak prihoda u iznosu od 107.880,38 kn. </w:t>
      </w:r>
    </w:p>
    <w:p>
      <w:pPr>
        <w:pStyle w:val="4"/>
        <w:jc w:val="both"/>
        <w:rPr>
          <w:rFonts w:ascii="Times New Roman" w:hAnsi="Times New Roman" w:cs="Times New Roman"/>
          <w:sz w:val="24"/>
          <w:szCs w:val="24"/>
        </w:rPr>
      </w:pPr>
    </w:p>
    <w:p>
      <w:pPr>
        <w:pStyle w:val="4"/>
        <w:jc w:val="both"/>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 xml:space="preserve">OBRAZAC PR-RAS  </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AOP 058 odnosi se na sredstva dobivena od Hrvatskog zavoda za zapošljavanje za provođenje mjere stručnog osposobljavanja bez zasnivanja radnog odnosa u iznosu od 7.057,92 kn. U prošloj godini bio je značajno veći, budući da je škola imala Pomagača u nastavi preko javnih radova „Mladi za mlade“, pa su u tu svrhu bila doznačena sredstva. AOP 064 odnosi se na sredstva dobivena od grada Ludbrega u iznosu od 113.528,31 kn, sredstva dobivena od Školskog športskog saveza Varaždinske županije u iznosu od 750,00 kn, sredstva dobivena od ministarstva za prijevoz djece s teškoćama u razvoju u iznosu od 8.131,26 kn, za nabavu didaktike za djecu u posebnom razrednom odjelu u iznosu od 9.900,00 kn, za plaće u iznosu od 9.496.715,98 kn, za opremanje knjižnice u iznosu od 6.000,00 kn te za mentorstvo u iznosu od 3.888,00 kn, sredstva dobivena od Agencije za odgoj i obrazovanje u iznosu od 1.000,00 za voditelja ŽSV-a.  AOP 066 odnosi se na sredstva u sklopu projekta „Ja mogu“ iznos od 83.214,33 kn, dok se iznos od 8.682,58 odnosi na sredstva dobivena u sklopu projekta ERASMUS+ te su utrošena za naknade za prijevoz u sklopu AOP 162 u iznosu od 8.682,58 kn. AOP 074 odnosi se na kamate na sredstva na žiroračunu.  </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AOP 105 odnosi se na sredstva prikupljena od roditelja za plaću učiteljice u produženom boravku u iznosu od 133.872,00 kn, sredstva prikupljena od roditelja za kuhinju za djecu u produženom boravku u iznosu od 92.368,00 kn, sredstva prikupljena od roditelja za školsku kuhinju u iznosu od 440.091,50 kn, sredstva prikupljena od roditelja za nastavne materijale u iznosu od 60.290,71 kn, za financiranje izleta u iznosu od 15.400,00 kn, sredstva prikupljena od ministarstva za kuhinju za djecu u posebnom razrednom odjelu u iznosu od 16.340,00 kn, sredstva prikupljena od grada za kuhinju djece slabijeg imovinskog stanja u iznosu od 33.000,00 kn, sredstva za kuhinju u sklopu projekta „Hrvatska za djecu“ u iznosu od 38.462,70 kn, prihod od štete – nadoknada učenika 300,00 kn, prihod od Glazbene škole u iznosu 33.864,00 kn, prijevoz učenika – sufinanciranje roditelji u iznosu od 55.786,00 kn te ostali prihodi u iznosu od 100,00 kn. AOP 124 odnosi se na prihode od najma dvorane u iznosu od 16.610,00 kn. AOP 127 odnosi se na donaciju Zaklade Sveti Mihael u iznosu od 3.000,00 kn te donaciju microbitova u iznosu od 2.195,25 kn. </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AOP 130 odnosi se na sredstva dobivena od županije u iznosu od 1.158.790,52 kn, od čega je 1.136.800,52 namijenjeno za pokriće materijalnih troškova, 6.690,00 kn su sredstva dobivena po zaključcima za natjecanja i nagrade mentorima, dok se 15.300,00 kn odnosi na sredstva za provedbu Projekta ranog učenja informatike. AOP 136 odnosi se na sredstva dobivena od Friša za prikupljanje starih baterija u iznosu od 460,00 kn. Ukupni prihodi poslovanja u 2017. godini iznose 11.847.163,49 kn.</w:t>
      </w:r>
    </w:p>
    <w:p>
      <w:pPr>
        <w:ind w:firstLine="708"/>
        <w:jc w:val="both"/>
        <w:rPr>
          <w:rFonts w:ascii="Times New Roman" w:hAnsi="Times New Roman" w:cs="Times New Roman"/>
          <w:sz w:val="24"/>
          <w:szCs w:val="24"/>
        </w:rPr>
      </w:pPr>
      <w:r>
        <w:rPr>
          <w:rFonts w:ascii="Times New Roman" w:hAnsi="Times New Roman" w:cs="Times New Roman"/>
          <w:sz w:val="24"/>
          <w:szCs w:val="24"/>
        </w:rPr>
        <w:t>AOP 148 prikazuje ukupne rashode u 2017. godini koji su ostali otprilike na jednakoj razini kao i prethodne godine. AOP 149 odnosi se na plaće zaposlenih pri čemu su plaće na teret ministarstva 9.054.095,06 kn, dok se ostatak odnosi na plaće učiteljica zaposlenih u produženom boravku te plaće u sklopu projekta „Uz tebe sam“. Naknade za prijevoz na AOP 136 odnose se na sredstva za prijevoz na teret ministarstva u iznosu od 333.844,40 kn. AOP 181 odnosi se na ugovore o djelu na teret ministarstva u iznosu od 77.424,12 kn te AOP 190 naknade zbog nezapošljavanja osoba s invaliditetom na teret ministarstva u iznosu od 35.240,40 kn. Ukupna sredstva na teret ministarstva za plaće, božićnice, regres, darove djeci jubilarne nagrade i otpremnine iznose 9.500.603,98 kn te su u potpunosti utrošena. Od ostalih sredstava dobivenih od ministarstva, kao što je već gore spomenuto, dobivena su sredstva za opremanje knjižnice u iznosu od 6.000,00 kn koja su u potpunosti utrošena i vidljiva u sklopu AOP 375, zatim sredstva za prijevoz djece s teškoćama u razvoju u iznosu od 8.131,26 kn koja su također u potpunosti utrošena i vidljiva u sklopu AOP 175 u istom iznosu. Također, tu su sredstva dobivena od ministarstva za nabavu didaktike za posebni razredni odjel u iznosu od 9.900,00 kn, također u potpunosti utrošena i vidljiva kao dio AOP 167 u iznosu 9.062,27 kn i AOP 171 u iznosu od 837,73 kn.</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AOP 176 značajno je uvećan u odnosu na prošlu godinu zbog dvije značajne investicije – zamjena dijela stolarije te rekonstrukcija sportske dvorane, koja je bila nužna zbog nemogućnosti održavanja nastave. AOP 181 povećan je zbog povećanja broja ugovora o djelu – u Glazbenom odjelu nema mogućnosti zapošljavanja osoba u radni odnos, pa rade ljudi na ugovor o djelu kako bi se omogućilo nesmetano obavljanje nastave. Također, izdvojena su značajna sredstva za izradu troškovnika za rekonstrukciju sportske dvorane, a zaposlena je i osoba na ugovor o djelu za potrebe Projekta ranog učenja informatike.  Na AOP 281 vidljivi su ukupni rashodi u iznosu od 11.932.080,86 kn te je ukupni manjak prihoda poslovanja u 2017. godini 84.917,37 kn. </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AOP 361 povećan je u odnosu na prošlu godinu zbog nabave kućišta za opremanje učionice za potrebe projekta ranog učenja informatike, AOP 366 – nabavljena glazbena oprema za Glazbeni odjel, AOP 367 – nabavljena pećnica za kuhinju te klima za opremanje posebnog razrednog odjela i klima za opremanje informatičke učionice. AOP 375 – nabavljene knjige za knjižnicu i u sklopu projekta besplatnih udžbenika. Ukupni manjak prihoda od nefinancijske imovine iznosi 154.713,49 kn. AOP 406 prikazuje ukupni manjak u 2017. godini koji iznosi 239.630,86 kn te će se pokriti viškom iz prethodnih godina, koji je vidljiv na AOP 407 i iznosi 347.511,24 kn. AOP 635 prikazuje ukupni višak prihoda raspoloživ u sljedećem razdoblju, koji iznosi 107.880,38 kn. </w:t>
      </w:r>
    </w:p>
    <w:p>
      <w:pPr>
        <w:ind w:firstLine="708"/>
        <w:jc w:val="both"/>
        <w:rPr>
          <w:rFonts w:ascii="Times New Roman" w:hAnsi="Times New Roman" w:cs="Times New Roman"/>
          <w:sz w:val="24"/>
          <w:szCs w:val="24"/>
        </w:rPr>
      </w:pPr>
      <w:r>
        <w:rPr>
          <w:rFonts w:ascii="Times New Roman" w:hAnsi="Times New Roman" w:cs="Times New Roman"/>
          <w:sz w:val="24"/>
          <w:szCs w:val="24"/>
        </w:rPr>
        <w:t xml:space="preserve">AOP 641 prikazuje stanje žiroračuna na dan 31.12.2017. godine i on iznosi 434.051,09 kn. </w:t>
      </w:r>
    </w:p>
    <w:p>
      <w:pPr>
        <w:ind w:firstLine="708"/>
        <w:jc w:val="both"/>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OBRAZAC RAS – funkcijski</w:t>
      </w:r>
    </w:p>
    <w:p>
      <w:pPr>
        <w:jc w:val="both"/>
        <w:rPr>
          <w:rFonts w:ascii="Times New Roman" w:hAnsi="Times New Roman" w:cs="Times New Roman"/>
          <w:sz w:val="24"/>
          <w:szCs w:val="24"/>
        </w:rPr>
      </w:pPr>
      <w:r>
        <w:rPr>
          <w:rFonts w:ascii="Times New Roman" w:hAnsi="Times New Roman" w:cs="Times New Roman"/>
          <w:sz w:val="24"/>
          <w:szCs w:val="24"/>
        </w:rPr>
        <w:t xml:space="preserve">     AOP 111 prikazuje ukupne rashode poslovanja u iznosu od 11.932.080,86 kn, te rashode za nabavu dugotrajne nefinancijske imovine u iznosu od 154.713,49 kn, umanjen za rashode prehrane učenika koji su prikazani u AOP 122 u iznosu od 613.923,69 kn.</w:t>
      </w:r>
    </w:p>
    <w:p>
      <w:pPr>
        <w:jc w:val="both"/>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OBRAZAC OBVEZE</w:t>
      </w:r>
    </w:p>
    <w:p>
      <w:pPr>
        <w:jc w:val="both"/>
        <w:rPr>
          <w:rFonts w:ascii="Times New Roman" w:hAnsi="Times New Roman" w:cs="Times New Roman"/>
          <w:sz w:val="24"/>
          <w:szCs w:val="24"/>
        </w:rPr>
      </w:pPr>
      <w:r>
        <w:rPr>
          <w:rFonts w:ascii="Times New Roman" w:hAnsi="Times New Roman" w:cs="Times New Roman"/>
          <w:sz w:val="24"/>
          <w:szCs w:val="24"/>
        </w:rPr>
        <w:t xml:space="preserve">     AOP 001 odnosi se na stanje obveza 01.01.2017. godine u iznosu 843.996,14 kn. AOP 036 odnosi se na stanje nedospjelih obveza na kraju izvještajnog razdoblja u iznosu od 1.034.102,87 kn, od čega su rashodi za zaposlene 806.964,04 kn, obveze za materijalne rashode 149.310,71 kn, obveze za financijske rashode 454,26 kn, ostale tekuće obveze 73.822,21 kn te obveze za nabavu nefinancijske imovine 3.551,65 kn. </w:t>
      </w:r>
    </w:p>
    <w:p>
      <w:pPr>
        <w:jc w:val="both"/>
        <w:rPr>
          <w:rFonts w:ascii="Times New Roman" w:hAnsi="Times New Roman" w:cs="Times New Roman"/>
          <w:sz w:val="24"/>
          <w:szCs w:val="24"/>
        </w:rPr>
      </w:pPr>
      <w:r>
        <w:rPr>
          <w:rFonts w:ascii="Times New Roman" w:hAnsi="Times New Roman" w:cs="Times New Roman"/>
          <w:sz w:val="24"/>
          <w:szCs w:val="24"/>
        </w:rPr>
        <w:t xml:space="preserve"> </w:t>
      </w:r>
    </w:p>
    <w:p>
      <w:pPr>
        <w:jc w:val="both"/>
        <w:rPr>
          <w:rFonts w:ascii="Times New Roman" w:hAnsi="Times New Roman" w:cs="Times New Roman"/>
          <w:sz w:val="24"/>
          <w:szCs w:val="24"/>
        </w:rPr>
      </w:pPr>
    </w:p>
    <w:p>
      <w:pPr>
        <w:pStyle w:val="4"/>
        <w:rPr>
          <w:rFonts w:ascii="Times New Roman" w:hAnsi="Times New Roman" w:cs="Times New Roman"/>
          <w:sz w:val="24"/>
          <w:szCs w:val="24"/>
        </w:rPr>
      </w:pPr>
      <w:r>
        <w:rPr>
          <w:rFonts w:ascii="Times New Roman" w:hAnsi="Times New Roman" w:cs="Times New Roman"/>
          <w:sz w:val="24"/>
          <w:szCs w:val="24"/>
        </w:rPr>
        <w:t xml:space="preserve">Računovođa: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Ravnateljica:</w:t>
      </w:r>
    </w:p>
    <w:p>
      <w:pPr>
        <w:pStyle w:val="4"/>
        <w:rPr>
          <w:rFonts w:ascii="Times New Roman" w:hAnsi="Times New Roman" w:cs="Times New Roman"/>
          <w:sz w:val="24"/>
          <w:szCs w:val="24"/>
        </w:rPr>
      </w:pPr>
      <w:r>
        <w:rPr>
          <w:rFonts w:ascii="Times New Roman" w:hAnsi="Times New Roman" w:cs="Times New Roman"/>
          <w:sz w:val="24"/>
          <w:szCs w:val="24"/>
        </w:rPr>
        <w:t xml:space="preserve">Maja Cafuk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Đurđa Kladić</w:t>
      </w:r>
    </w:p>
    <w:p>
      <w:pPr>
        <w:pStyle w:val="4"/>
        <w:rPr>
          <w:rFonts w:ascii="Times New Roman" w:hAnsi="Times New Roman" w:cs="Times New Roman"/>
          <w:sz w:val="24"/>
          <w:szCs w:val="24"/>
        </w:rPr>
      </w:pPr>
    </w:p>
    <w:p>
      <w:pPr>
        <w:pStyle w:val="4"/>
        <w:rPr>
          <w:rFonts w:ascii="Times New Roman" w:hAnsi="Times New Roman" w:cs="Times New Roman"/>
          <w:sz w:val="24"/>
          <w:szCs w:val="24"/>
        </w:rPr>
      </w:pPr>
    </w:p>
    <w:p>
      <w:pPr>
        <w:pStyle w:val="4"/>
        <w:rPr>
          <w:rFonts w:ascii="Times New Roman" w:hAnsi="Times New Roman" w:cs="Times New Roman"/>
          <w:sz w:val="24"/>
          <w:szCs w:val="24"/>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D1"/>
    <w:rsid w:val="00110687"/>
    <w:rsid w:val="00136549"/>
    <w:rsid w:val="0016764C"/>
    <w:rsid w:val="00177EA7"/>
    <w:rsid w:val="00190CAF"/>
    <w:rsid w:val="001A3925"/>
    <w:rsid w:val="001C45D0"/>
    <w:rsid w:val="002E2DB6"/>
    <w:rsid w:val="00383135"/>
    <w:rsid w:val="003D267F"/>
    <w:rsid w:val="00422EAD"/>
    <w:rsid w:val="004602FC"/>
    <w:rsid w:val="00484105"/>
    <w:rsid w:val="004A0259"/>
    <w:rsid w:val="004E12DB"/>
    <w:rsid w:val="00533225"/>
    <w:rsid w:val="00534236"/>
    <w:rsid w:val="005A1EDC"/>
    <w:rsid w:val="005C459C"/>
    <w:rsid w:val="005D49D1"/>
    <w:rsid w:val="00660F81"/>
    <w:rsid w:val="006F66CB"/>
    <w:rsid w:val="00714023"/>
    <w:rsid w:val="008346EB"/>
    <w:rsid w:val="00852EA8"/>
    <w:rsid w:val="008F41E4"/>
    <w:rsid w:val="00942640"/>
    <w:rsid w:val="00953132"/>
    <w:rsid w:val="009627AE"/>
    <w:rsid w:val="009D2BB8"/>
    <w:rsid w:val="00A00109"/>
    <w:rsid w:val="00A50236"/>
    <w:rsid w:val="00A62A0C"/>
    <w:rsid w:val="00A64CD2"/>
    <w:rsid w:val="00A70E94"/>
    <w:rsid w:val="00AB210F"/>
    <w:rsid w:val="00AC30BB"/>
    <w:rsid w:val="00AD4298"/>
    <w:rsid w:val="00AE7304"/>
    <w:rsid w:val="00AF5AF6"/>
    <w:rsid w:val="00B463E2"/>
    <w:rsid w:val="00BE7821"/>
    <w:rsid w:val="00C358F8"/>
    <w:rsid w:val="00C97714"/>
    <w:rsid w:val="00CF15F2"/>
    <w:rsid w:val="00D1168F"/>
    <w:rsid w:val="00D350A3"/>
    <w:rsid w:val="00D41811"/>
    <w:rsid w:val="00DC4FEC"/>
    <w:rsid w:val="00E32C01"/>
    <w:rsid w:val="00EC3E12"/>
    <w:rsid w:val="00F10FFE"/>
    <w:rsid w:val="00F95627"/>
    <w:rsid w:val="00FD6A25"/>
    <w:rsid w:val="531967C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hr-HR" w:eastAsia="hr-H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EastAsia" w:cstheme="minorBidi"/>
      <w:sz w:val="22"/>
      <w:szCs w:val="22"/>
      <w:lang w:val="hr-HR" w:eastAsia="hr-HR"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1392</Words>
  <Characters>7936</Characters>
  <Lines>66</Lines>
  <Paragraphs>18</Paragraphs>
  <TotalTime>1</TotalTime>
  <ScaleCrop>false</ScaleCrop>
  <LinksUpToDate>false</LinksUpToDate>
  <CharactersWithSpaces>9310</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2018-01-30T07:47:00Z</dcterms:created>
  <dc:creator>Korisnik</dc:creator>
  <cp:lastModifiedBy>Korisnik</cp:lastModifiedBy>
  <dcterms:modified xsi:type="dcterms:W3CDTF">2024-03-20T13:02:41Z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95BAFFDE936B4E6D844E549FF32A30B4_13</vt:lpwstr>
  </property>
</Properties>
</file>